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ytu"/>
        <w:spacing w:lineRule="auto" w:line="276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Tytu"/>
        <w:spacing w:lineRule="auto" w:line="276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Tytu"/>
        <w:spacing w:lineRule="auto" w:line="276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Tytu"/>
        <w:spacing w:lineRule="auto" w:line="276"/>
        <w:rPr>
          <w:rFonts w:ascii="Calibri" w:hAnsi="Calibri" w:asciiTheme="minorHAnsi" w:hAnsiTheme="minorHAnsi"/>
          <w:szCs w:val="24"/>
        </w:rPr>
      </w:pPr>
      <w:r>
        <w:rPr>
          <w:rFonts w:asciiTheme="minorHAnsi" w:hAnsiTheme="minorHAnsi" w:ascii="Calibri" w:hAnsi="Calibri"/>
          <w:szCs w:val="24"/>
        </w:rPr>
      </w:r>
    </w:p>
    <w:p>
      <w:pPr>
        <w:pStyle w:val="Normal"/>
        <w:widowControl w:val="false"/>
        <w:suppressAutoHyphens w:val="true"/>
        <w:spacing w:lineRule="auto" w:line="276" w:before="600" w:after="0"/>
        <w:jc w:val="center"/>
        <w:rPr>
          <w:rFonts w:ascii="Calibri" w:hAnsi="Calibri" w:eastAsia="SimSun" w:cs="Tahoma" w:asciiTheme="minorHAnsi" w:hAnsiTheme="minorHAnsi"/>
          <w:b/>
          <w:kern w:val="2"/>
          <w:sz w:val="56"/>
          <w:szCs w:val="56"/>
          <w:lang w:eastAsia="hi-IN" w:bidi="hi-IN"/>
        </w:rPr>
      </w:pPr>
      <w:r>
        <w:rPr>
          <w:rFonts w:eastAsia="SimSun" w:cs="Tahoma" w:ascii="Calibri" w:hAnsi="Calibri" w:asciiTheme="minorHAnsi" w:hAnsiTheme="minorHAnsi"/>
          <w:b/>
          <w:kern w:val="2"/>
          <w:sz w:val="56"/>
          <w:szCs w:val="56"/>
          <w:lang w:eastAsia="hi-IN" w:bidi="hi-IN"/>
        </w:rPr>
        <w:t>REGULAMIN PROJEKTU</w:t>
      </w:r>
    </w:p>
    <w:p>
      <w:pPr>
        <w:pStyle w:val="Normal"/>
        <w:widowControl w:val="false"/>
        <w:suppressAutoHyphens w:val="true"/>
        <w:spacing w:lineRule="auto" w:line="276" w:before="0" w:after="600"/>
        <w:jc w:val="center"/>
        <w:rPr>
          <w:rFonts w:ascii="Calibri" w:hAnsi="Calibri" w:eastAsia="SimSun" w:cs="Tahoma" w:asciiTheme="minorHAnsi" w:hAnsiTheme="minorHAnsi"/>
          <w:b/>
          <w:kern w:val="2"/>
          <w:sz w:val="56"/>
          <w:szCs w:val="56"/>
          <w:lang w:eastAsia="hi-IN" w:bidi="hi-IN"/>
        </w:rPr>
      </w:pPr>
      <w:r>
        <w:rPr>
          <w:rFonts w:eastAsia="SimSun" w:cs="Tahoma" w:ascii="Calibri" w:hAnsi="Calibri" w:asciiTheme="minorHAnsi" w:hAnsiTheme="minorHAnsi"/>
          <w:b/>
          <w:kern w:val="2"/>
          <w:sz w:val="56"/>
          <w:szCs w:val="56"/>
          <w:lang w:eastAsia="hi-IN" w:bidi="hi-IN"/>
        </w:rPr>
        <w:t>(regulamin rekrutacji i uczestnictwa)</w:t>
      </w:r>
    </w:p>
    <w:p>
      <w:pPr>
        <w:pStyle w:val="Normal"/>
        <w:widowControl w:val="false"/>
        <w:suppressAutoHyphens w:val="true"/>
        <w:spacing w:lineRule="auto" w:line="276" w:before="0" w:after="600"/>
        <w:jc w:val="center"/>
        <w:rPr>
          <w:rFonts w:ascii="Calibri" w:hAnsi="Calibri" w:eastAsia="SimSun" w:cs="Tahoma" w:asciiTheme="minorHAnsi" w:hAnsiTheme="minorHAnsi"/>
          <w:b/>
          <w:kern w:val="2"/>
          <w:sz w:val="36"/>
          <w:szCs w:val="36"/>
          <w:lang w:eastAsia="hi-IN" w:bidi="hi-IN"/>
        </w:rPr>
      </w:pPr>
      <w:r>
        <w:rPr>
          <w:rFonts w:eastAsia="SimSun" w:cs="Tahoma" w:ascii="Calibri" w:hAnsi="Calibri"/>
          <w:b/>
          <w:kern w:val="2"/>
          <w:sz w:val="36"/>
          <w:szCs w:val="36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76" w:before="0" w:after="600"/>
        <w:jc w:val="center"/>
        <w:rPr>
          <w:rFonts w:ascii="Calibri" w:hAnsi="Calibri" w:eastAsia="SimSun" w:cs="Tahoma" w:asciiTheme="minorHAnsi" w:hAnsiTheme="minorHAnsi"/>
          <w:b/>
          <w:kern w:val="2"/>
          <w:sz w:val="48"/>
          <w:szCs w:val="48"/>
          <w:lang w:eastAsia="hi-IN" w:bidi="hi-IN"/>
        </w:rPr>
      </w:pPr>
      <w:r>
        <w:rPr>
          <w:rFonts w:eastAsia="SimSun" w:cs="Tahoma" w:ascii="Calibri" w:hAnsi="Calibri" w:asciiTheme="minorHAnsi" w:hAnsiTheme="minorHAnsi"/>
          <w:b/>
          <w:kern w:val="2"/>
          <w:sz w:val="48"/>
          <w:szCs w:val="48"/>
          <w:lang w:eastAsia="hi-IN" w:bidi="hi-IN"/>
        </w:rPr>
        <w:t>„</w:t>
      </w:r>
      <w:r>
        <w:rPr>
          <w:rFonts w:eastAsia="SimSun" w:cs="Tahoma" w:ascii="Calibri" w:hAnsi="Calibri" w:asciiTheme="minorHAnsi" w:hAnsiTheme="minorHAnsi"/>
          <w:b/>
          <w:kern w:val="2"/>
          <w:sz w:val="48"/>
          <w:szCs w:val="48"/>
          <w:lang w:eastAsia="hi-IN" w:bidi="hi-IN"/>
        </w:rPr>
        <w:t xml:space="preserve">ASYSTENT OSOBISTY OSOBY </w:t>
        <w:br/>
        <w:t>Z NIEPEŁNOSPRAWNOŚCI</w:t>
      </w:r>
      <w:r>
        <w:rPr>
          <w:rFonts w:eastAsia="SimSun" w:cs="Tahoma" w:ascii="Calibri" w:hAnsi="Calibri" w:asciiTheme="minorHAnsi" w:hAnsiTheme="minorHAnsi"/>
          <w:b/>
          <w:kern w:val="2"/>
          <w:sz w:val="48"/>
          <w:szCs w:val="48"/>
          <w:lang w:eastAsia="hi-IN" w:bidi="hi-IN"/>
        </w:rPr>
        <w:t>Ą</w:t>
      </w:r>
      <w:r>
        <w:rPr>
          <w:rFonts w:eastAsia="SimSun" w:cs="Tahoma" w:ascii="Calibri" w:hAnsi="Calibri" w:asciiTheme="minorHAnsi" w:hAnsiTheme="minorHAnsi"/>
          <w:b/>
          <w:kern w:val="2"/>
          <w:sz w:val="48"/>
          <w:szCs w:val="48"/>
          <w:lang w:eastAsia="hi-IN" w:bidi="hi-IN"/>
        </w:rPr>
        <w:t>”</w:t>
      </w:r>
    </w:p>
    <w:p>
      <w:pPr>
        <w:pStyle w:val="Normal"/>
        <w:widowControl w:val="false"/>
        <w:suppressAutoHyphens w:val="true"/>
        <w:spacing w:lineRule="auto" w:line="276" w:before="0" w:after="600"/>
        <w:jc w:val="center"/>
        <w:rPr>
          <w:rFonts w:ascii="Calibri" w:hAnsi="Calibri" w:eastAsia="SimSun" w:cs="Tahoma" w:asciiTheme="minorHAnsi" w:hAnsiTheme="minorHAnsi"/>
          <w:b/>
          <w:kern w:val="2"/>
          <w:sz w:val="36"/>
          <w:szCs w:val="36"/>
          <w:lang w:eastAsia="hi-IN" w:bidi="hi-IN"/>
        </w:rPr>
      </w:pPr>
      <w:r>
        <w:rPr>
          <w:rFonts w:eastAsia="SimSun" w:cs="Tahoma" w:ascii="Calibri" w:hAnsi="Calibri"/>
          <w:b/>
          <w:kern w:val="2"/>
          <w:sz w:val="36"/>
          <w:szCs w:val="36"/>
          <w:lang w:eastAsia="hi-IN" w:bidi="hi-IN"/>
        </w:rPr>
      </w:r>
    </w:p>
    <w:p>
      <w:pPr>
        <w:pStyle w:val="Normal"/>
        <w:widowControl w:val="false"/>
        <w:suppressAutoHyphens w:val="true"/>
        <w:spacing w:lineRule="auto" w:line="276"/>
        <w:jc w:val="center"/>
        <w:rPr>
          <w:rFonts w:ascii="Calibri" w:hAnsi="Calibri" w:eastAsia="SimSun" w:cs="Tahoma" w:asciiTheme="minorHAnsi" w:hAnsiTheme="minorHAnsi"/>
          <w:b/>
          <w:kern w:val="2"/>
          <w:sz w:val="28"/>
          <w:szCs w:val="28"/>
          <w:lang w:eastAsia="hi-IN" w:bidi="hi-IN"/>
        </w:rPr>
      </w:pPr>
      <w:r>
        <w:rPr>
          <w:rFonts w:eastAsia="SimSun" w:cs="Tahoma" w:ascii="Calibri" w:hAnsi="Calibri" w:asciiTheme="minorHAnsi" w:hAnsiTheme="minorHAnsi"/>
          <w:b/>
          <w:kern w:val="2"/>
          <w:sz w:val="28"/>
          <w:szCs w:val="28"/>
          <w:lang w:eastAsia="hi-IN" w:bidi="hi-IN"/>
        </w:rPr>
        <w:t xml:space="preserve">realizowanego przez </w:t>
      </w:r>
    </w:p>
    <w:p>
      <w:pPr>
        <w:pStyle w:val="Normal"/>
        <w:widowControl w:val="false"/>
        <w:suppressAutoHyphens w:val="true"/>
        <w:spacing w:lineRule="auto" w:line="276"/>
        <w:jc w:val="center"/>
        <w:rPr>
          <w:rFonts w:ascii="Calibri" w:hAnsi="Calibri" w:eastAsia="SimSun" w:cs="Tahoma" w:asciiTheme="minorHAnsi" w:hAnsiTheme="minorHAnsi"/>
          <w:b/>
          <w:kern w:val="2"/>
          <w:sz w:val="36"/>
          <w:szCs w:val="36"/>
          <w:lang w:eastAsia="hi-IN" w:bidi="hi-IN"/>
        </w:rPr>
      </w:pPr>
      <w:r>
        <w:rPr>
          <w:rFonts w:eastAsia="SimSun" w:cs="Tahoma" w:ascii="Calibri" w:hAnsi="Calibri"/>
          <w:b/>
          <w:kern w:val="2"/>
          <w:sz w:val="36"/>
          <w:szCs w:val="36"/>
          <w:lang w:eastAsia="hi-I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Calibri" w:hAnsi="Calibri" w:cs="Arial" w:asciiTheme="minorHAnsi" w:hAnsiTheme="minorHAnsi"/>
          <w:b/>
          <w:i/>
          <w:i/>
          <w:sz w:val="32"/>
          <w:szCs w:val="32"/>
        </w:rPr>
      </w:pPr>
      <w:r>
        <w:rPr>
          <w:rFonts w:cs="Arial" w:ascii="Calibri" w:hAnsi="Calibri" w:asciiTheme="minorHAnsi" w:hAnsiTheme="minorHAnsi"/>
          <w:b/>
          <w:iCs/>
          <w:sz w:val="32"/>
          <w:szCs w:val="32"/>
        </w:rPr>
        <w:t>Fundację NieOdkładalni</w:t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Calibri" w:hAnsi="Calibri" w:eastAsia="SimSun" w:cs="Tahoma" w:asciiTheme="minorHAnsi" w:hAnsiTheme="minorHAnsi"/>
          <w:b/>
          <w:kern w:val="2"/>
          <w:sz w:val="36"/>
          <w:szCs w:val="36"/>
          <w:lang w:eastAsia="hi-IN" w:bidi="hi-IN"/>
        </w:rPr>
      </w:pPr>
      <w:r>
        <w:rPr>
          <w:rFonts w:eastAsia="SimSun" w:cs="Tahoma" w:ascii="Calibri" w:hAnsi="Calibri"/>
          <w:b/>
          <w:kern w:val="2"/>
          <w:sz w:val="36"/>
          <w:szCs w:val="36"/>
          <w:lang w:eastAsia="hi-IN" w:bidi="hi-IN"/>
        </w:rPr>
      </w:r>
    </w:p>
    <w:p>
      <w:pPr>
        <w:pStyle w:val="Normal"/>
        <w:suppressAutoHyphens w:val="true"/>
        <w:spacing w:lineRule="auto" w:line="360"/>
        <w:jc w:val="center"/>
        <w:textAlignment w:val="baseline"/>
        <w:rPr>
          <w:rFonts w:ascii="Calibri" w:hAnsi="Calibri" w:eastAsia="SimSun" w:cs="Tahoma" w:asciiTheme="minorHAnsi" w:hAnsiTheme="minorHAnsi"/>
          <w:b/>
          <w:kern w:val="2"/>
          <w:sz w:val="28"/>
          <w:szCs w:val="28"/>
          <w:lang w:eastAsia="hi-IN" w:bidi="hi-IN"/>
        </w:rPr>
      </w:pPr>
      <w:r>
        <w:rPr>
          <w:rFonts w:eastAsia="SimSun" w:cs="Tahoma" w:ascii="Calibri" w:hAnsi="Calibri"/>
          <w:b/>
          <w:kern w:val="2"/>
          <w:sz w:val="28"/>
          <w:szCs w:val="28"/>
          <w:lang w:eastAsia="hi-IN" w:bidi="hi-IN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asciiTheme="minorHAnsi" w:hAnsiTheme="minorHAnsi"/>
          <w:b/>
          <w:color w:val="000000"/>
          <w:lang w:eastAsia="en-US"/>
        </w:rPr>
      </w:pPr>
      <w:r>
        <w:rPr>
          <w:rFonts w:eastAsia="Calibri" w:ascii="Calibri" w:hAnsi="Calibri"/>
          <w:b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asciiTheme="minorHAnsi" w:hAnsiTheme="minorHAnsi"/>
          <w:b/>
          <w:color w:val="000000"/>
          <w:lang w:eastAsia="en-US"/>
        </w:rPr>
      </w:pPr>
      <w:r>
        <w:rPr>
          <w:rFonts w:eastAsia="Calibri" w:ascii="Calibri" w:hAnsi="Calibri"/>
          <w:b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asciiTheme="minorHAnsi" w:hAnsiTheme="minorHAnsi"/>
          <w:b/>
          <w:color w:val="000000"/>
          <w:lang w:eastAsia="en-US"/>
        </w:rPr>
      </w:pPr>
      <w:r>
        <w:rPr>
          <w:rFonts w:eastAsia="Calibri" w:ascii="Calibri" w:hAnsi="Calibri"/>
          <w:b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asciiTheme="minorHAnsi" w:hAnsiTheme="minorHAnsi"/>
          <w:b/>
          <w:color w:val="000000"/>
          <w:lang w:eastAsia="en-US"/>
        </w:rPr>
      </w:pPr>
      <w:r>
        <w:rPr>
          <w:rFonts w:eastAsia="Calibri" w:ascii="Calibri" w:hAnsi="Calibri"/>
          <w:b/>
          <w:color w:val="000000"/>
          <w:lang w:eastAsia="en-US"/>
        </w:rPr>
      </w:r>
    </w:p>
    <w:p>
      <w:pPr>
        <w:pStyle w:val="Normal"/>
        <w:spacing w:lineRule="auto" w:line="360"/>
        <w:jc w:val="center"/>
        <w:rPr>
          <w:rFonts w:ascii="Calibri" w:hAnsi="Calibri" w:eastAsia="Calibri" w:asciiTheme="minorHAnsi" w:hAnsiTheme="minorHAnsi"/>
          <w:b/>
          <w:color w:val="000000"/>
          <w:lang w:eastAsia="en-US"/>
        </w:rPr>
      </w:pPr>
      <w:r>
        <w:rPr>
          <w:rFonts w:eastAsia="Calibri" w:ascii="Calibri" w:hAnsi="Calibri"/>
          <w:b/>
          <w:color w:val="000000"/>
          <w:lang w:eastAsia="en-US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I. Słowniczek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program – program Ministerstwa Rodziny i Polityki Społecznej „Asystent osobisty osoby niepełnosprawnej” dla Organizacji Pozarządowych – edycja 2025, finansowany ze środków Funduszu Solidarnościowego.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usługi – usługi asystencji osobistej realizowane na rzecz osoby z niepełnosprawnością;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asystent/ka – osoba świadcząca usługi, spełniająca wymagania określone w rozdziale IV programu;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– osoba z niepełnosprawnością będąca beneficjentem usług asystencji osobistej, szczegółowo określona w rozdziale III regulaminu – działająca osobiście lub reprezentowana przez opiekuna prawnego;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kandydat/ka – osoba ubiegająca się o udział w programie; 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realizator – Fundacja NieOdkładalni, ul. Wincentego Pola 27/2-32, 44-100 Gliwice organizująca usługi asystencji osobistej. </w:t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II. Informacje ogólne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Program będzie realizowany zgodnie ze złożonym i zaakceptowanym wnioskiem Fundacji NieOdkładalni na środki finansowe z programu.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Usługi świadczone będą na terenie województwa śląskiego w okresie 01.01.2025 – 31.12.2025 r.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Liczba miejsc w programie jest ograniczona.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Zgodnie z programem (rozdział II. Diagnoza sytuacji) „celem rozpowszechnienia usług asystencji osobistej jest zwiększenie szans osób niepełnoprawnych na prowadzenie bardziej niezależnego/samodzielnego i aktywnego życia”. W związku z tym, program skierowany będzie w szczególności do osób, które przy wsparciu asystenta/tki zwiększą swoje możliwości życia samodzielnego i aktywnego.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Usługi asystencji osobistej będą polegały na wspieraniu przez asystenta osoby z niepełnosprawnością w różnych sferach życia codziennego. Zakres czynności w ramach usług asystencji osobistej i ich zakres godzinowy będą uzależnione od osobistej sytuacji osoby z niepełnosprawnością, z uwzględnieniem stopnia i rodzaju niepełnosprawności uczestnika.. </w:t>
      </w:r>
    </w:p>
    <w:p>
      <w:pPr>
        <w:pStyle w:val="ListParagraph"/>
        <w:numPr>
          <w:ilvl w:val="0"/>
          <w:numId w:val="2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nie ponosi odpłatności za usługi. </w:t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III. Odbiorcy programu i kryteria udziału 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5970" w:leader="none"/>
        </w:tabs>
        <w:ind w:left="709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Odbiorcami/czyniami programu mogą być: </w:t>
      </w:r>
    </w:p>
    <w:p>
      <w:pPr>
        <w:pStyle w:val="ListParagraph"/>
        <w:numPr>
          <w:ilvl w:val="0"/>
          <w:numId w:val="4"/>
        </w:numPr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dzieci od ukończenia 2. do 16 roku życia z aktualnym orzeczeniem o niepełnosprawności łącznie ze wskazaniami: konieczności stałej lub długotrwałej opieki lub pomocy innej osoby w związku ze znacznie ograniczoną możliwością samodzielnej egzystencji oraz konieczności stałego współudziału, na co dzień opiekuna dziecka w procesie jego leczenia, rehabilitacji i edukacji. 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5970" w:leader="none"/>
        </w:tabs>
        <w:ind w:left="851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programie mogą wziąć udział osoby spełniające kryteria: </w:t>
      </w:r>
    </w:p>
    <w:p>
      <w:pPr>
        <w:pStyle w:val="ListParagraph"/>
        <w:numPr>
          <w:ilvl w:val="0"/>
          <w:numId w:val="5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obowiązkowe: </w:t>
      </w:r>
    </w:p>
    <w:p>
      <w:pPr>
        <w:pStyle w:val="ListParagraph"/>
        <w:numPr>
          <w:ilvl w:val="0"/>
          <w:numId w:val="6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mieszkaniec/nka województwa śląskiego, który/a posiada jedno z wymienionych w ust. 1 orzeczeń; </w:t>
      </w:r>
    </w:p>
    <w:p>
      <w:pPr>
        <w:pStyle w:val="ListParagraph"/>
        <w:numPr>
          <w:ilvl w:val="0"/>
          <w:numId w:val="7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nieobowiązkowe (premiujące). Pierwszeństwo będą miały osoby, które spełnią poniższe kryteria punktowane tj.:</w:t>
      </w:r>
    </w:p>
    <w:p>
      <w:pPr>
        <w:pStyle w:val="ListParagraph"/>
        <w:numPr>
          <w:ilvl w:val="0"/>
          <w:numId w:val="32"/>
        </w:numPr>
        <w:tabs>
          <w:tab w:val="clear" w:pos="709"/>
          <w:tab w:val="left" w:pos="5970" w:leader="none"/>
        </w:tabs>
        <w:ind w:left="2127" w:hanging="284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</w:t>
      </w:r>
      <w:r>
        <w:rPr>
          <w:rFonts w:ascii="Calibri" w:hAnsi="Calibri" w:asciiTheme="minorHAnsi" w:hAnsiTheme="minorHAnsi"/>
        </w:rPr>
        <w:t>osoby z niepełnosprawnościami samotnie gospodarujące, które nie mają możliwości korzystania ze wsparcia bliskich – 5 pkt.</w:t>
      </w:r>
    </w:p>
    <w:p>
      <w:pPr>
        <w:pStyle w:val="ListParagraph"/>
        <w:numPr>
          <w:ilvl w:val="0"/>
          <w:numId w:val="32"/>
        </w:numPr>
        <w:tabs>
          <w:tab w:val="clear" w:pos="709"/>
          <w:tab w:val="left" w:pos="5970" w:leader="none"/>
        </w:tabs>
        <w:ind w:left="2127" w:hanging="284"/>
        <w:jc w:val="both"/>
        <w:rPr>
          <w:rFonts w:ascii="Calibri" w:hAnsi="Calibri" w:asciiTheme="minorHAnsi" w:hAnsiTheme="minorHAnsi"/>
        </w:rPr>
      </w:pPr>
      <w:r>
        <w:rPr>
          <w:rFonts w:cs="Segoe UI" w:ascii="Calibri" w:hAnsi="Calibri"/>
          <w:color w:val="000000"/>
        </w:rPr>
        <w:t xml:space="preserve"> </w:t>
      </w:r>
      <w:r>
        <w:rPr>
          <w:rFonts w:cs="Segoe UI" w:ascii="Calibri" w:hAnsi="Calibri"/>
          <w:color w:val="000000"/>
        </w:rPr>
        <w:t>osoby z niepełnosprawnościami wspólnie zamieszkujące i gospodarujące, które nie mają możliwości korzystania ze wsparcia bliskich – 5 pkt</w:t>
      </w:r>
      <w:r>
        <w:rPr>
          <w:rFonts w:ascii="Calibri" w:hAnsi="Calibri" w:asciiTheme="minorHAnsi" w:hAnsiTheme="minorHAnsi"/>
        </w:rPr>
        <w:t>.</w:t>
      </w:r>
    </w:p>
    <w:p>
      <w:pPr>
        <w:pStyle w:val="ListParagraph"/>
        <w:numPr>
          <w:ilvl w:val="1"/>
          <w:numId w:val="3"/>
        </w:numPr>
        <w:tabs>
          <w:tab w:val="clear" w:pos="709"/>
          <w:tab w:val="left" w:pos="851" w:leader="none"/>
          <w:tab w:val="left" w:pos="5970" w:leader="none"/>
        </w:tabs>
        <w:ind w:left="993" w:hanging="567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 przypadku uzyskania równej liczby punktów decyduje kolejność zgłoszeń.</w:t>
      </w:r>
    </w:p>
    <w:p>
      <w:pPr>
        <w:pStyle w:val="Normal"/>
        <w:tabs>
          <w:tab w:val="clear" w:pos="709"/>
          <w:tab w:val="left" w:pos="5970" w:leader="none"/>
        </w:tabs>
        <w:ind w:left="2127" w:hanging="426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IV. Limity godzin </w:t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celu objęcia wsparciem jak największej liczby osób, limit godzin usług na 1 odbiorcę/czynię wynosi: 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2410" w:leader="none"/>
        </w:tabs>
        <w:ind w:left="851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840 godzin dla odbiorców/czyń posiadających orzeczenie o znacznym stopniu niepełnosprawności z niepełnosprawnością sprzężoną (na orzeczeniu są minimum 2 symbole przyczyn niepełnosprawności); 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1985" w:leader="none"/>
          <w:tab w:val="left" w:pos="2410" w:leader="none"/>
        </w:tabs>
        <w:ind w:left="851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720 godzin dla odbiorców/czyń posiadających orzeczenie o znacznym stopniu niepełnosprawności; </w:t>
      </w:r>
    </w:p>
    <w:p>
      <w:pPr>
        <w:pStyle w:val="ListParagraph"/>
        <w:numPr>
          <w:ilvl w:val="2"/>
          <w:numId w:val="9"/>
        </w:numPr>
        <w:tabs>
          <w:tab w:val="clear" w:pos="709"/>
          <w:tab w:val="left" w:pos="5970" w:leader="none"/>
        </w:tabs>
        <w:ind w:left="851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360 godzin dla dzieci do 16 roku życia z orzeczeniem o niepełnosprawności (łącznie ze wskazaniami konieczności stałej lub długotrwałej opieki lub pomocy innej osoby w związku ze znacznie ograniczoną możliwością samodzielnej egzystencji oraz konieczności stałego współudziału, na co dzień opiekuna dziecka w procesie jego leczenia, rehabilitacji i edukacji). </w:t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>V. Zakres usług asystenckich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Usługi polegają w szczególności na wsparciu asystenta w: </w:t>
      </w:r>
    </w:p>
    <w:p>
      <w:pPr>
        <w:pStyle w:val="ListParagraph"/>
        <w:numPr>
          <w:ilvl w:val="2"/>
          <w:numId w:val="8"/>
        </w:numPr>
        <w:tabs>
          <w:tab w:val="clear" w:pos="709"/>
          <w:tab w:val="left" w:pos="5970" w:leader="none"/>
        </w:tabs>
        <w:ind w:left="993" w:hanging="142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wyjściu, powrocie lub dojazdach z odbiorcą w wybrane przez odbiorcę miejsca (np. praca, placówka oświatowa, dzienny ośrodek wsparcia, warsztat terapii zajęciowej, rehabilitacja); </w:t>
      </w:r>
    </w:p>
    <w:p>
      <w:pPr>
        <w:pStyle w:val="ListParagraph"/>
        <w:numPr>
          <w:ilvl w:val="2"/>
          <w:numId w:val="8"/>
        </w:numPr>
        <w:tabs>
          <w:tab w:val="clear" w:pos="709"/>
          <w:tab w:val="left" w:pos="5970" w:leader="none"/>
        </w:tabs>
        <w:ind w:left="993" w:hanging="142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załatwianiu przez odbiorcę spraw urzędowych; </w:t>
      </w:r>
    </w:p>
    <w:p>
      <w:pPr>
        <w:pStyle w:val="ListParagraph"/>
        <w:numPr>
          <w:ilvl w:val="2"/>
          <w:numId w:val="8"/>
        </w:numPr>
        <w:tabs>
          <w:tab w:val="clear" w:pos="709"/>
          <w:tab w:val="left" w:pos="5970" w:leader="none"/>
        </w:tabs>
        <w:ind w:left="993" w:hanging="142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korzystaniu przez odbiorcę z dóbr kultury (np. muzeum, teatr, kino, galerie sztuki, wystawy); </w:t>
      </w:r>
    </w:p>
    <w:p>
      <w:pPr>
        <w:pStyle w:val="ListParagraph"/>
        <w:numPr>
          <w:ilvl w:val="2"/>
          <w:numId w:val="8"/>
        </w:numPr>
        <w:tabs>
          <w:tab w:val="clear" w:pos="709"/>
          <w:tab w:val="left" w:pos="5970" w:leader="none"/>
        </w:tabs>
        <w:ind w:left="993" w:hanging="142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zaprowadzaniu dzieci z orzeczeniem o niepełnosprawności do placówki oświatowej lub przyprowadzaniu ich z niej; </w:t>
      </w:r>
    </w:p>
    <w:p>
      <w:pPr>
        <w:pStyle w:val="ListParagraph"/>
        <w:numPr>
          <w:ilvl w:val="2"/>
          <w:numId w:val="8"/>
        </w:numPr>
        <w:tabs>
          <w:tab w:val="clear" w:pos="709"/>
          <w:tab w:val="left" w:pos="5970" w:leader="none"/>
        </w:tabs>
        <w:ind w:left="993" w:hanging="142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asystencji osobistej na terenie szkoły (tylko w przypadku, gdy szkoła nie zapewnia tej usługi); </w:t>
      </w:r>
    </w:p>
    <w:p>
      <w:pPr>
        <w:pStyle w:val="ListParagraph"/>
        <w:numPr>
          <w:ilvl w:val="2"/>
          <w:numId w:val="8"/>
        </w:numPr>
        <w:tabs>
          <w:tab w:val="clear" w:pos="709"/>
          <w:tab w:val="left" w:pos="5970" w:leader="none"/>
        </w:tabs>
        <w:ind w:left="993" w:hanging="142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wykonywaniu przez odbiorcę czynności dnia codziennego.</w:t>
      </w:r>
    </w:p>
    <w:p>
      <w:pPr>
        <w:pStyle w:val="ListParagraph"/>
        <w:numPr>
          <w:ilvl w:val="0"/>
          <w:numId w:val="8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Szczegółowy zakres czynności zawiera załącznik nr 1 do regulaminu Karta zgłoszenia do programu. </w:t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VI. Rekrutacja </w:t>
      </w:r>
    </w:p>
    <w:p>
      <w:pPr>
        <w:pStyle w:val="ListParagraph"/>
        <w:numPr>
          <w:ilvl w:val="2"/>
          <w:numId w:val="10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Kandydat/ka ubiegający/a się o udział w programie: 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wypełnia załącznik nr 1 do regulaminu – Karta zgłoszenia do programu wraz informacją uzupełniającą; 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wypełnia załącznik nr 2 do regulaminu – Deklaracja wyboru asystenta; 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wypełnia załącznik nr 3 do regulaminu – Akceptacja osoby asystenta ze strony rodzica/opiekuna prawnego; </w:t>
      </w:r>
    </w:p>
    <w:p>
      <w:pPr>
        <w:pStyle w:val="ListParagraph"/>
        <w:numPr>
          <w:ilvl w:val="0"/>
          <w:numId w:val="11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załącza kserokopię aktualnego orzeczenia o niepełnosprawności. </w:t>
      </w:r>
    </w:p>
    <w:p>
      <w:pPr>
        <w:pStyle w:val="ListParagraph"/>
        <w:numPr>
          <w:ilvl w:val="2"/>
          <w:numId w:val="10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Dokumenty rekrutacyjne należy: </w:t>
      </w:r>
    </w:p>
    <w:p>
      <w:pPr>
        <w:pStyle w:val="ListParagraph"/>
        <w:numPr>
          <w:ilvl w:val="2"/>
          <w:numId w:val="12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wypełnić w sposób czytelny, w języku polskim, odręcznie lub komputerowo; </w:t>
      </w:r>
    </w:p>
    <w:p>
      <w:pPr>
        <w:pStyle w:val="ListParagraph"/>
        <w:numPr>
          <w:ilvl w:val="2"/>
          <w:numId w:val="12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wypełnić wszystkie pola w wymaganych załącznikach; </w:t>
      </w:r>
    </w:p>
    <w:p>
      <w:pPr>
        <w:pStyle w:val="ListParagraph"/>
        <w:numPr>
          <w:ilvl w:val="2"/>
          <w:numId w:val="12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podpisać we wszystkich wskazanych polach odręcznie, przy czym: </w:t>
      </w:r>
    </w:p>
    <w:p>
      <w:pPr>
        <w:pStyle w:val="ListParagraph"/>
        <w:numPr>
          <w:ilvl w:val="1"/>
          <w:numId w:val="13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przypadku osób niepełnoletnich – podpis składa rodzic/opiekun prawny, </w:t>
      </w:r>
    </w:p>
    <w:p>
      <w:pPr>
        <w:pStyle w:val="ListParagraph"/>
        <w:numPr>
          <w:ilvl w:val="1"/>
          <w:numId w:val="13"/>
        </w:numPr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przypadku osób ubezwłasnowolnionych – podpis składa opiekun prawny. </w:t>
      </w:r>
    </w:p>
    <w:p>
      <w:pPr>
        <w:pStyle w:val="ListParagraph"/>
        <w:numPr>
          <w:ilvl w:val="2"/>
          <w:numId w:val="10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Wymagane dokumenty można złożyć w dogodnej dla siebie formie:</w:t>
      </w:r>
    </w:p>
    <w:p>
      <w:pPr>
        <w:pStyle w:val="ListParagraph"/>
        <w:numPr>
          <w:ilvl w:val="2"/>
          <w:numId w:val="14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osobiście - w siedzibie Fundacji NieOdkładalni, ul. Wincentego Pola 27/2-32, 44-100 Gliwice; </w:t>
      </w:r>
    </w:p>
    <w:p>
      <w:pPr>
        <w:pStyle w:val="ListParagraph"/>
        <w:numPr>
          <w:ilvl w:val="2"/>
          <w:numId w:val="14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pocztą tradycyjną - na adres: j.w.; 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Złożone dokumenty nie podlegają zwrotowi i stanowią dokumentację programu. 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Realizator zastrzega, że złożenie dokumentów rekrutacyjnych nie oznacza przyjęcia do programu. 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 przyjęciu do programu decyduje spełnienie kryteriów formalnych, wymienionych w rozdziale III regulaminu (ust. 1 i ust. 2 pkt 1) oraz limit miejsc, jakie posiada realizator. W przypadku zgłoszenia się większej liczby odbiorców niż miejsc w programie, pierwszeństwo będą miały osoby z największą liczbą punktów uzyskanych w kryteriach punktowanych (nieobowiązkowych) wymienionych w rozdziale III regulaminu (ust. 2 pkt 2). 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Informację o zakwalifikowaniu się do programu realizator przekazuje odbiorcy/czyni telefonicznie lub mailowo.</w:t>
      </w:r>
    </w:p>
    <w:p>
      <w:pPr>
        <w:pStyle w:val="ListParagraph"/>
        <w:numPr>
          <w:ilvl w:val="0"/>
          <w:numId w:val="15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Realizator prowadzi rekrutację zamkniętą w terminie od 01 lutego do 15 lutego 2025 r. Rekrutacja uzupełniająca zostanie ogłoszona w przypadku zgłoszenia się mniejszej liczby uczestników niż miejsc w programie. Terminy rekrutacji uzupełniającej będą ogłaszane na stronie internetowej realizatora.</w:t>
      </w:r>
    </w:p>
    <w:p>
      <w:pPr>
        <w:pStyle w:val="ListParagraph"/>
        <w:tabs>
          <w:tab w:val="clear" w:pos="709"/>
          <w:tab w:val="left" w:pos="5970" w:leader="none"/>
        </w:tabs>
        <w:ind w:left="709" w:hanging="0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VII. Organizacja usług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Usługi będą realizowane zgodnie z programem.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celu zapewnienia należytego świadczenia usług, realizator zatrudni osoby, z których każda spełnia wymogi określone w rozdziale IV programu.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 zakończeniu rekrutacji, realizator zatrudni bezpośrednio asystentów/tki wskazanych przez odbiorców/czynie, na warunkach określonych w programie.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Odbiorcy/czynie, którzy do realizacji usług nie wskazali asystenta/ki (nie wypełnili Załącznika nr 2 do regulaminu – Deklaracja wyboru asystenta), będą oczekiwać na dobór asystenta/tki przez realizatora. 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przypadku braku możliwości realizacji usług, realizator zobowiązany jest niezwłocznie poinformować o tym fakcie odbiorcę/czynię.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może kontaktować się z realizatorem w dogodnej dla siebie formie: </w:t>
      </w:r>
    </w:p>
    <w:p>
      <w:pPr>
        <w:pStyle w:val="ListParagraph"/>
        <w:numPr>
          <w:ilvl w:val="2"/>
          <w:numId w:val="17"/>
        </w:numPr>
        <w:tabs>
          <w:tab w:val="clear" w:pos="709"/>
          <w:tab w:val="left" w:pos="5970" w:leader="none"/>
        </w:tabs>
        <w:ind w:left="993" w:hanging="284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  </w:t>
      </w:r>
      <w:r>
        <w:rPr>
          <w:rFonts w:ascii="Calibri" w:hAnsi="Calibri" w:asciiTheme="minorHAnsi" w:hAnsiTheme="minorHAnsi"/>
        </w:rPr>
        <w:t>telefonicznej: 697 534 982,</w:t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mailowej: fundacja@nieodkladalni.pl, </w:t>
      </w:r>
    </w:p>
    <w:p>
      <w:pPr>
        <w:pStyle w:val="ListParagraph"/>
        <w:numPr>
          <w:ilvl w:val="0"/>
          <w:numId w:val="17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osobistej: Fundacja NieOdkładalni, ul. Wincentego Pola 27/2-32, 44-100 Gliwice</w:t>
      </w:r>
      <w:bookmarkStart w:id="0" w:name="_GoBack"/>
      <w:bookmarkEnd w:id="0"/>
      <w:r>
        <w:rPr>
          <w:rFonts w:ascii="Calibri" w:hAnsi="Calibri" w:asciiTheme="minorHAnsi" w:hAnsiTheme="minorHAnsi"/>
        </w:rPr>
        <w:t xml:space="preserve">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Realizator nie ponosi odpowiedzialności za ewentualne szkody powstałe w trakcie świadczenia usług, które wynikają z działania osób trzecich, niezatrudnionych w celu świadczenia usług.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Realizator przekazuje asystentom/tkom Karty realizacji usług stanowiące załącznik nr 4 do regulaminu.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Asystent/tka prowadzi Karty realizacji usług, na bieżąco oddzielnie dla każdego odbiorcy/czyni.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Potwierdzeniem realizacji usługi jest złożenie podpisu przez odbiorcę/czynię na Karcie realizacji usług, każdorazowo, każdego dnia, po zakończeniu usługi.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przypadku odmowy podpisania Karty realizacji usług, odbiorca/czyni zobowiązany jest podać uzasadniony powód odmowy. Odmowa podpisania i powód odmowy odnotowywane są przez asystenta/tkę w Karcie realizacji usług.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Asystent/ka prowadzi na bieżąco ewidencje: </w:t>
      </w:r>
    </w:p>
    <w:p>
      <w:pPr>
        <w:pStyle w:val="ListParagraph"/>
        <w:numPr>
          <w:ilvl w:val="2"/>
          <w:numId w:val="1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przebiegu pojazdu (załącznik 4a do regulaminu), </w:t>
      </w:r>
    </w:p>
    <w:p>
      <w:pPr>
        <w:pStyle w:val="ListParagraph"/>
        <w:numPr>
          <w:ilvl w:val="2"/>
          <w:numId w:val="1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kosztów przejazdu innym środkiem transportu (załącznik 4b do regulaminu), </w:t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biletów wstępu dla asystenta (załącznik 4c do regulaminu), </w:t>
      </w:r>
    </w:p>
    <w:p>
      <w:pPr>
        <w:pStyle w:val="ListParagraph"/>
        <w:numPr>
          <w:ilvl w:val="0"/>
          <w:numId w:val="19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biletów jednorazowych komunikacji miejskiej (załącznik 4d do regulaminu).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Karty realizacji usług wraz z ewidencjami (jeśli dotyczą), asystent/ka przekazuje realizatorowi w terminie do 5 dni roboczych każdego miesiąca, po jego zakończeniu.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Asystent/ka świadczy usługi maksymalnie przez 12 godzin na dobę. Przez dobę należy rozumieć 24 kolejne godziny, poczynając od godziny, w której asystent/ka rozpoczyna realizację usługi. Do czasu realizacji usługi nie wlicza się dojazdu asystenta/tki do i od uczestnika/czki. Usługi te realizowane są przy uwzględnieniu aktywnego udziału odbiorcy/czyni zgodnie z indywidualnymi potrzebami oraz z określonym zakresem i wymiarem. </w:t>
      </w:r>
    </w:p>
    <w:p>
      <w:pPr>
        <w:pStyle w:val="ListParagraph"/>
        <w:numPr>
          <w:ilvl w:val="1"/>
          <w:numId w:val="16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Realizator i/lub asystent/tka odmówi realizowania usług: </w:t>
      </w:r>
    </w:p>
    <w:p>
      <w:pPr>
        <w:pStyle w:val="ListParagraph"/>
        <w:numPr>
          <w:ilvl w:val="2"/>
          <w:numId w:val="16"/>
        </w:numPr>
        <w:tabs>
          <w:tab w:val="clear" w:pos="709"/>
          <w:tab w:val="left" w:pos="5970" w:leader="none"/>
        </w:tabs>
        <w:ind w:left="1134" w:hanging="141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sytuacjach zagrażających zdrowiu lub życiu odbiorców, asystentów/tek lub osób trzecich; </w:t>
      </w:r>
    </w:p>
    <w:p>
      <w:pPr>
        <w:pStyle w:val="ListParagraph"/>
        <w:numPr>
          <w:ilvl w:val="2"/>
          <w:numId w:val="16"/>
        </w:numPr>
        <w:tabs>
          <w:tab w:val="clear" w:pos="709"/>
          <w:tab w:val="left" w:pos="5970" w:leader="none"/>
        </w:tabs>
        <w:ind w:left="1134" w:hanging="141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sytuacjach, w których okoliczności wskazują na możliwość wywołania szkody osobom trzecim lub łamania przepisów prawa; </w:t>
      </w:r>
    </w:p>
    <w:p>
      <w:pPr>
        <w:pStyle w:val="ListParagraph"/>
        <w:numPr>
          <w:ilvl w:val="2"/>
          <w:numId w:val="16"/>
        </w:numPr>
        <w:tabs>
          <w:tab w:val="clear" w:pos="709"/>
          <w:tab w:val="left" w:pos="5970" w:leader="none"/>
        </w:tabs>
        <w:ind w:left="1134" w:hanging="141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na rzecz osób trzecich, np. członków rodziny odbiorcy/czyni. </w:t>
      </w:r>
    </w:p>
    <w:p>
      <w:pPr>
        <w:pStyle w:val="Normal"/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VIII. Sposób realizacji usługi przez asystenta/tki i realizatora </w:t>
      </w:r>
    </w:p>
    <w:p>
      <w:pPr>
        <w:pStyle w:val="ListParagraph"/>
        <w:numPr>
          <w:ilvl w:val="2"/>
          <w:numId w:val="20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Usługi polegają na współpracy oraz wzajemnym szacunku odbiorcy/czyni i asystenta/tki. </w:t>
      </w:r>
    </w:p>
    <w:p>
      <w:pPr>
        <w:pStyle w:val="ListParagraph"/>
        <w:numPr>
          <w:ilvl w:val="2"/>
          <w:numId w:val="20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Świadcząc usługi realizator i asystent/ka kierują się zasadami: 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1134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akceptacji – oparta na zasadach tolerancji, poszanowania godności, swobody wyboru, wartości i celów życiowych odbiorcy/czyni; 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1134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indywidualizacji – podmiotowe podejście do odbiorcy/czyni, jego niepowtarzalnej osobowości, z prawami i potrzebami; 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1134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poufności – respektowanie prywatności tj. nieujawniania informacji przekazanych przez odbiorcę/czynię, również członkom najbliższej rodziny, oraz bez wiedzy i zgody odbiorcy/czyni pozyskiwanie informacji na temat odbiorcy/czyni od osób trzecich, w tym rodziny (z wyłączeniem sytuacji wynikających z obowiązujących przepisów prawa); 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1134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prawo do samostanowienia – prawo do wolności i odpowiedzialności za swoje życie (z wyłączeniem sytuacji wymagających ratowania zdrowia i życia odbiorcy/czyni); </w:t>
      </w:r>
    </w:p>
    <w:p>
      <w:pPr>
        <w:pStyle w:val="ListParagraph"/>
        <w:numPr>
          <w:ilvl w:val="0"/>
          <w:numId w:val="21"/>
        </w:numPr>
        <w:tabs>
          <w:tab w:val="clear" w:pos="709"/>
          <w:tab w:val="left" w:pos="1134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neutralności – zachowanie bezstronne i niewyrażające ocen; usługi realizowane są niezależnie od poglądów i postaw asystentów/tek i odbiorców/czyń; wykonaniu usługi zawsze przyświeca jej cel, niezależnie od przekonań politycznych, religijnych, ideologicznych itp. </w:t>
      </w:r>
    </w:p>
    <w:p>
      <w:pPr>
        <w:pStyle w:val="ListParagraph"/>
        <w:numPr>
          <w:ilvl w:val="0"/>
          <w:numId w:val="22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Asystent/tka nie podejmuje decyzji za odbiorcę, jego/jej celem jest jedynie wspieranie lub pomoc w realizacji osobistych zamiarów. </w:t>
      </w:r>
    </w:p>
    <w:p>
      <w:pPr>
        <w:pStyle w:val="ListParagraph"/>
        <w:numPr>
          <w:ilvl w:val="0"/>
          <w:numId w:val="22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przypadku niezrozumienia zadania, asystent/tka jasno komunikuje swoje wątpliwości odbiorcy/czyni. </w:t>
      </w:r>
    </w:p>
    <w:p>
      <w:pPr>
        <w:pStyle w:val="ListParagraph"/>
        <w:numPr>
          <w:ilvl w:val="0"/>
          <w:numId w:val="22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Zachowania asystenta/tki niedopuszczalne w stosunku do odbiorcy/czyni: </w:t>
      </w:r>
    </w:p>
    <w:p>
      <w:pPr>
        <w:pStyle w:val="ListParagraph"/>
        <w:numPr>
          <w:ilvl w:val="0"/>
          <w:numId w:val="23"/>
        </w:numPr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stosowanie przemocy (szturchanie, popychanie, rzucanie przedmiotami); </w:t>
      </w:r>
    </w:p>
    <w:p>
      <w:pPr>
        <w:pStyle w:val="ListParagraph"/>
        <w:numPr>
          <w:ilvl w:val="0"/>
          <w:numId w:val="23"/>
        </w:numPr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podnoszenie głosu; </w:t>
      </w:r>
    </w:p>
    <w:p>
      <w:pPr>
        <w:pStyle w:val="ListParagraph"/>
        <w:numPr>
          <w:ilvl w:val="0"/>
          <w:numId w:val="23"/>
        </w:numPr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stosowanie obraźliwych i wulgarnych zwrotów; </w:t>
      </w:r>
    </w:p>
    <w:p>
      <w:pPr>
        <w:pStyle w:val="ListParagraph"/>
        <w:numPr>
          <w:ilvl w:val="0"/>
          <w:numId w:val="23"/>
        </w:numPr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zachowania przekraczające granicę strefy intymnej; </w:t>
      </w:r>
    </w:p>
    <w:p>
      <w:pPr>
        <w:pStyle w:val="ListParagraph"/>
        <w:numPr>
          <w:ilvl w:val="0"/>
          <w:numId w:val="23"/>
        </w:numPr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stosowanie przemocy słownej (wyśmiewanie, ironizowanie, przedrzeźnianie itp.).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Asystent/ka realizuje usługi wyłącznie na rzecz odbiorcy/czyni i w skutek jego/jej decyzji, a nie dla poszczególnych członków rodziny odbiorcy/czyni.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Asystent/ka tym samym czasie może wspierać tylko jednego odbiorcę/czynię.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Zakres świadczonych usług powinien być uzależniony od osobistej sytuacji odbiorcy/czyni, z uwzględnieniem stopnia i rodzaju niepełnosprawności.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Asystent/ka zobowiązany jest do informowania o swojej nieobecności realizatora i odbiorcę/czynię.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Usługi są realizowane zgodnie z harmonogramem ustalonym pomiędzy asystentem/tką, a odbiorcą/czynią.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prowadzeniu gospodarstwa domowego asystent wspiera wyłącznie odbiorców/czynie zamieszkujących/ce samodzielnie.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Wsparcie w sprzątaniu wykonywane jest przy użyciu materiałów i środków czystości odbiorcy/czyni. Usługa nie obejmuje wsparcia w: gruntownym sprzątaniu mieszkania (m.in. sprzątania po remontach), myciu lamp wiszących i żyrandoli, mycia klatki schodowej, myciu krat i rolet zewnętrznych, trzepaniu i praniu dywanów, chodników dywanowych, sprzątaniu balkonów, tarasów, ogródków, pracach sezonowych (m.in. zagrabiania liści, odśnieżania).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Jeżeli czynności polegające na wsparciu w przemieszczaniu się, wsparciu w komunikacji z otoczeniem wymagają użycia specjalistycznego sprzętu (np. podnośnik, wózek, balkonik, schodołaz, sprzęt do komunikacji alternatywnej itp.), zapewnienie go jest obowiązkiem odbiorcy/czyni.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Aktywna infekcja asystenta lub odbiorcy, wyklucza świadczenie usług. </w:t>
      </w:r>
    </w:p>
    <w:p>
      <w:pPr>
        <w:pStyle w:val="ListParagraph"/>
        <w:numPr>
          <w:ilvl w:val="0"/>
          <w:numId w:val="24"/>
        </w:numPr>
        <w:tabs>
          <w:tab w:val="clear" w:pos="709"/>
          <w:tab w:val="left" w:pos="5970" w:leader="none"/>
        </w:tabs>
        <w:ind w:left="709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przypadku usług wymagających wysiłku fizycznego (w tym związanych z pielęgnacją, zmianą pozycji ciała i przemieszczaniem się), ma zastosowanie Rozporządzenie Ministra Pracy i Polityki Społecznej z dnia 14 marca 2000 r. w sprawie bezpieczeństwa i higieny pracy przy ręcznych pracach transportowych oraz innych pracach związanych z wysiłkiem fizycznym (Rozdział 3 - Ręczne przemieszczanie przedmiotów przez jednego pracownika od § 13). </w:t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  <w:b/>
          <w:bCs/>
        </w:rPr>
      </w:pPr>
      <w:r>
        <w:rPr>
          <w:rFonts w:ascii="Calibri" w:hAnsi="Calibri" w:asciiTheme="minorHAnsi" w:hAnsiTheme="minorHAnsi"/>
          <w:b/>
          <w:bCs/>
        </w:rPr>
        <w:t xml:space="preserve">IX. Prawa i obowiązki odbiorcy/czyni </w:t>
      </w:r>
    </w:p>
    <w:p>
      <w:pPr>
        <w:pStyle w:val="ListParagraph"/>
        <w:numPr>
          <w:ilvl w:val="2"/>
          <w:numId w:val="13"/>
        </w:numPr>
        <w:tabs>
          <w:tab w:val="clear" w:pos="709"/>
          <w:tab w:val="left" w:pos="5970" w:leader="none"/>
        </w:tabs>
        <w:ind w:left="567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ma prawo do: </w:t>
      </w:r>
    </w:p>
    <w:p>
      <w:pPr>
        <w:pStyle w:val="ListParagraph"/>
        <w:numPr>
          <w:ilvl w:val="2"/>
          <w:numId w:val="25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korzystania z pomocy asystenta/tki w zakresie wynikającym z programu; </w:t>
      </w:r>
    </w:p>
    <w:p>
      <w:pPr>
        <w:pStyle w:val="ListParagraph"/>
        <w:numPr>
          <w:ilvl w:val="2"/>
          <w:numId w:val="25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wymagania od asystenta/tki zachowania poufności w zakresie informacji o sytuacji zdrowotnej, życiowej i materialnej swojej i członków rodziny; </w:t>
      </w:r>
    </w:p>
    <w:p>
      <w:pPr>
        <w:pStyle w:val="ListParagraph"/>
        <w:numPr>
          <w:ilvl w:val="2"/>
          <w:numId w:val="25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wymagania od asystenta/tki niepalenia tytoniu w miejscu świadczenia usługi, zachowania trzeźwości oraz niewprowadzania do mieszkania odbiorcy/czyni osób nieupoważnionych oraz zwierząt; </w:t>
      </w:r>
    </w:p>
    <w:p>
      <w:pPr>
        <w:pStyle w:val="ListParagraph"/>
        <w:numPr>
          <w:ilvl w:val="2"/>
          <w:numId w:val="25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zgłoszenia potrzeby zmiany asystenta/tki. </w:t>
      </w:r>
    </w:p>
    <w:p>
      <w:pPr>
        <w:pStyle w:val="ListParagraph"/>
        <w:numPr>
          <w:ilvl w:val="2"/>
          <w:numId w:val="13"/>
        </w:numPr>
        <w:tabs>
          <w:tab w:val="clear" w:pos="709"/>
          <w:tab w:val="left" w:pos="5970" w:leader="none"/>
        </w:tabs>
        <w:ind w:left="567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zobowiązany jest do: </w:t>
      </w:r>
    </w:p>
    <w:p>
      <w:pPr>
        <w:pStyle w:val="ListParagraph"/>
        <w:numPr>
          <w:ilvl w:val="2"/>
          <w:numId w:val="26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przestrzegania regulaminu; </w:t>
      </w:r>
    </w:p>
    <w:p>
      <w:pPr>
        <w:pStyle w:val="ListParagraph"/>
        <w:numPr>
          <w:ilvl w:val="2"/>
          <w:numId w:val="26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traktowania asystenta/tki z szacunkiem, z zachowaniem form grzecznościowych i zasad kultury osobistej; </w:t>
      </w:r>
    </w:p>
    <w:p>
      <w:pPr>
        <w:pStyle w:val="ListParagraph"/>
        <w:numPr>
          <w:ilvl w:val="2"/>
          <w:numId w:val="26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nieprzekraczania granic prywatności w relacjach z asystentem/tką oraz niewykorzystywania relacji z asystentem/tką do realizacji własnych interesów; </w:t>
      </w:r>
    </w:p>
    <w:p>
      <w:pPr>
        <w:pStyle w:val="ListParagraph"/>
        <w:numPr>
          <w:ilvl w:val="2"/>
          <w:numId w:val="26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podpisywania Karty realizacji usługi, każdego dnia po zakończeniu usługi; </w:t>
      </w:r>
    </w:p>
    <w:p>
      <w:pPr>
        <w:pStyle w:val="ListParagraph"/>
        <w:numPr>
          <w:ilvl w:val="2"/>
          <w:numId w:val="26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 sytuacji posiadania zwierzęcia domowego – posiadania aktualnego świadectwa szczepienia (o ile jest wymagane np. psy, koty) oraz zapewnienia asystentowi/ce możliwości bezpiecznych warunków pracy np. zamknięcie zwierzęcia w innym pomieszczeniu (w szczególności, gdy zwierzę przejawia agresywne zachowania lub inne uniemożliwiające wykonanie usług); </w:t>
      </w:r>
    </w:p>
    <w:p>
      <w:pPr>
        <w:pStyle w:val="ListParagraph"/>
        <w:numPr>
          <w:ilvl w:val="2"/>
          <w:numId w:val="26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bezzwłocznego informowania asystenta/ki lub realizatora o wszelkich planowanych i nieplanowanych sytuacjach, mających wpływ na termin i sposób świadczenia usługi; </w:t>
      </w:r>
    </w:p>
    <w:p>
      <w:pPr>
        <w:pStyle w:val="ListParagraph"/>
        <w:numPr>
          <w:ilvl w:val="2"/>
          <w:numId w:val="26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zgłaszania realizatorowi każdej zmiany danych zawartych w Karcie zgłoszenia do programu. </w:t>
      </w:r>
    </w:p>
    <w:p>
      <w:pPr>
        <w:pStyle w:val="ListParagraph"/>
        <w:numPr>
          <w:ilvl w:val="0"/>
          <w:numId w:val="27"/>
        </w:numPr>
        <w:tabs>
          <w:tab w:val="clear" w:pos="709"/>
          <w:tab w:val="left" w:pos="5970" w:leader="none"/>
        </w:tabs>
        <w:ind w:left="709" w:hanging="567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powinien/na zachować trzeźwość w trakcie realizacji usług. </w:t>
      </w:r>
    </w:p>
    <w:p>
      <w:pPr>
        <w:pStyle w:val="ListParagraph"/>
        <w:numPr>
          <w:ilvl w:val="0"/>
          <w:numId w:val="27"/>
        </w:numPr>
        <w:tabs>
          <w:tab w:val="clear" w:pos="709"/>
          <w:tab w:val="left" w:pos="5970" w:leader="none"/>
        </w:tabs>
        <w:ind w:left="709" w:hanging="567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nie powinien/powinna palić tytoniu w obecności asystenta/ki, jeśli nie wyrazi on/ona na to zgody. </w:t>
      </w:r>
    </w:p>
    <w:p>
      <w:pPr>
        <w:pStyle w:val="ListParagraph"/>
        <w:numPr>
          <w:ilvl w:val="0"/>
          <w:numId w:val="27"/>
        </w:numPr>
        <w:tabs>
          <w:tab w:val="clear" w:pos="709"/>
          <w:tab w:val="left" w:pos="5970" w:leader="none"/>
        </w:tabs>
        <w:ind w:left="709" w:hanging="567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powinien/powinna zapewnić asystentowi dostęp do bieżącej wody w celu umycia rąk oraz umożliwić korzystanie z toalety. </w:t>
      </w:r>
    </w:p>
    <w:p>
      <w:pPr>
        <w:pStyle w:val="ListParagraph"/>
        <w:numPr>
          <w:ilvl w:val="0"/>
          <w:numId w:val="27"/>
        </w:numPr>
        <w:tabs>
          <w:tab w:val="clear" w:pos="709"/>
          <w:tab w:val="left" w:pos="5970" w:leader="none"/>
        </w:tabs>
        <w:ind w:left="709" w:hanging="567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Zachowania odbiorcy/czyni niedopuszczalne w stosunku do asystenta/ki: </w:t>
      </w:r>
    </w:p>
    <w:p>
      <w:pPr>
        <w:pStyle w:val="ListParagraph"/>
        <w:numPr>
          <w:ilvl w:val="2"/>
          <w:numId w:val="2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stosowanie przemocy (szturchanie, popychanie, rzucanie przedmiotami); </w:t>
      </w:r>
    </w:p>
    <w:p>
      <w:pPr>
        <w:pStyle w:val="ListParagraph"/>
        <w:numPr>
          <w:ilvl w:val="2"/>
          <w:numId w:val="2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podnoszenie głosu; </w:t>
      </w:r>
    </w:p>
    <w:p>
      <w:pPr>
        <w:pStyle w:val="ListParagraph"/>
        <w:numPr>
          <w:ilvl w:val="2"/>
          <w:numId w:val="2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stosowanie obraźliwych i wulgarnych zwrotów; </w:t>
      </w:r>
    </w:p>
    <w:p>
      <w:pPr>
        <w:pStyle w:val="ListParagraph"/>
        <w:numPr>
          <w:ilvl w:val="2"/>
          <w:numId w:val="2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zachowania przekraczające granicę strefy intymnej; </w:t>
      </w:r>
    </w:p>
    <w:p>
      <w:pPr>
        <w:pStyle w:val="ListParagraph"/>
        <w:numPr>
          <w:ilvl w:val="2"/>
          <w:numId w:val="2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wymuszania na asystencie czynności wykraczającej poza zakres i wymiar usług określonych programem; </w:t>
      </w:r>
    </w:p>
    <w:p>
      <w:pPr>
        <w:pStyle w:val="ListParagraph"/>
        <w:numPr>
          <w:ilvl w:val="2"/>
          <w:numId w:val="28"/>
        </w:numPr>
        <w:tabs>
          <w:tab w:val="clear" w:pos="709"/>
          <w:tab w:val="left" w:pos="5970" w:leader="none"/>
        </w:tabs>
        <w:ind w:left="1134" w:hanging="283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stosowanie przemocy słownej (wyśmiewanie, ironizowanie, przedrzeźnianie itp). </w:t>
      </w:r>
    </w:p>
    <w:p>
      <w:pPr>
        <w:pStyle w:val="ListParagraph"/>
        <w:numPr>
          <w:ilvl w:val="0"/>
          <w:numId w:val="29"/>
        </w:numPr>
        <w:tabs>
          <w:tab w:val="clear" w:pos="709"/>
          <w:tab w:val="left" w:pos="5970" w:leader="none"/>
        </w:tabs>
        <w:ind w:left="709" w:hanging="567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Odbiorca/czyni powinien/powinna, o ile jest to możliwe, zapewnić, aby członkowie jego/jej rodziny (szczególnie z nim zamieszkujący): </w:t>
      </w:r>
    </w:p>
    <w:p>
      <w:pPr>
        <w:pStyle w:val="ListParagraph"/>
        <w:numPr>
          <w:ilvl w:val="2"/>
          <w:numId w:val="30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utrzymywali czystość wspólnie użytkowanych sprzętów, pomieszczeń oraz urządzeń np. kuchni, łazienki, naczyń stołowych itp.; </w:t>
      </w:r>
    </w:p>
    <w:p>
      <w:pPr>
        <w:pStyle w:val="ListParagraph"/>
        <w:numPr>
          <w:ilvl w:val="2"/>
          <w:numId w:val="30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umożliwili asystentowi/tce wykonywanie pracy zgodnie z zakresem czynności; </w:t>
      </w:r>
    </w:p>
    <w:p>
      <w:pPr>
        <w:pStyle w:val="ListParagraph"/>
        <w:numPr>
          <w:ilvl w:val="2"/>
          <w:numId w:val="30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traktowali asystenta/kę z należytym szacunkiem i z zachowaniem form grzecznościowych;</w:t>
      </w:r>
    </w:p>
    <w:p>
      <w:pPr>
        <w:pStyle w:val="ListParagraph"/>
        <w:numPr>
          <w:ilvl w:val="2"/>
          <w:numId w:val="30"/>
        </w:numPr>
        <w:tabs>
          <w:tab w:val="clear" w:pos="709"/>
          <w:tab w:val="left" w:pos="5970" w:leader="none"/>
        </w:tabs>
        <w:ind w:left="1134" w:hanging="425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podczas wykonywania pracy przez asystenta/kę powstrzymali się od palenia tytoniu i spożywania alkoholu w pomieszczeniach, w których świadczona jest usługa. </w:t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Theme="minorHAnsi" w:hAnsiTheme="minorHAnsi" w:ascii="Calibri" w:hAnsi="Calibri"/>
        </w:rPr>
      </w:r>
    </w:p>
    <w:p>
      <w:pPr>
        <w:pStyle w:val="Normal"/>
        <w:tabs>
          <w:tab w:val="clear" w:pos="709"/>
          <w:tab w:val="left" w:pos="5970" w:leader="none"/>
        </w:tabs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Załączniki do regulaminu:</w:t>
      </w:r>
    </w:p>
    <w:p>
      <w:pPr>
        <w:pStyle w:val="ListParagraph"/>
        <w:numPr>
          <w:ilvl w:val="3"/>
          <w:numId w:val="31"/>
        </w:numPr>
        <w:tabs>
          <w:tab w:val="clear" w:pos="709"/>
          <w:tab w:val="left" w:pos="5970" w:leader="none"/>
        </w:tabs>
        <w:ind w:left="426" w:hanging="42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Załącznik nr 1 do regulaminu – Karta zgłoszenia do programu wraz z informacją uzupełniającą. </w:t>
      </w:r>
    </w:p>
    <w:p>
      <w:pPr>
        <w:pStyle w:val="ListParagraph"/>
        <w:numPr>
          <w:ilvl w:val="3"/>
          <w:numId w:val="31"/>
        </w:numPr>
        <w:tabs>
          <w:tab w:val="clear" w:pos="709"/>
          <w:tab w:val="left" w:pos="5970" w:leader="none"/>
        </w:tabs>
        <w:ind w:left="426" w:hanging="42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Załącznik nr 2 do regulaminu – Deklaracja wyboru asystenta. </w:t>
      </w:r>
    </w:p>
    <w:p>
      <w:pPr>
        <w:pStyle w:val="ListParagraph"/>
        <w:numPr>
          <w:ilvl w:val="3"/>
          <w:numId w:val="31"/>
        </w:numPr>
        <w:tabs>
          <w:tab w:val="clear" w:pos="709"/>
          <w:tab w:val="left" w:pos="5970" w:leader="none"/>
        </w:tabs>
        <w:ind w:left="426" w:hanging="42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 xml:space="preserve">Załącznik nr 3 do regulaminu – Akceptacja osoby asystenta ze strony rodzica/opiekuna prawnego. </w:t>
      </w:r>
    </w:p>
    <w:p>
      <w:pPr>
        <w:pStyle w:val="ListParagraph"/>
        <w:numPr>
          <w:ilvl w:val="3"/>
          <w:numId w:val="31"/>
        </w:numPr>
        <w:tabs>
          <w:tab w:val="clear" w:pos="709"/>
          <w:tab w:val="left" w:pos="5970" w:leader="none"/>
        </w:tabs>
        <w:ind w:left="426" w:hanging="426"/>
        <w:jc w:val="both"/>
        <w:rPr>
          <w:rFonts w:ascii="Calibri" w:hAnsi="Calibri" w:asciiTheme="minorHAnsi" w:hAnsiTheme="minorHAnsi"/>
        </w:rPr>
      </w:pPr>
      <w:r>
        <w:rPr>
          <w:rFonts w:ascii="Calibri" w:hAnsi="Calibri" w:asciiTheme="minorHAnsi" w:hAnsiTheme="minorHAnsi"/>
        </w:rPr>
        <w:t>Załącznik nr 4 do regulaminu – Karta realizacji usług wraz z ewidencjami.</w:t>
        <w:tab/>
      </w:r>
    </w:p>
    <w:sectPr>
      <w:headerReference w:type="default" r:id="rId2"/>
      <w:footerReference w:type="default" r:id="rId3"/>
      <w:type w:val="nextPage"/>
      <w:pgSz w:w="11906" w:h="16838"/>
      <w:pgMar w:left="1134" w:right="1274" w:gutter="0" w:header="708" w:top="2368" w:footer="568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jc w:val="center"/>
      <w:rPr/>
    </w:pPr>
    <w:r>
      <w:rPr>
        <w:rFonts w:cs="Arial" w:ascii="Calibri" w:hAnsi="Calibri" w:asciiTheme="minorHAnsi" w:hAnsiTheme="minorHAnsi"/>
        <w:bCs/>
        <w:iCs/>
        <w:sz w:val="22"/>
        <w:szCs w:val="22"/>
      </w:rPr>
      <w:t xml:space="preserve">Program Ministra Rodziny i Polityki Społecznej „Asystent osobisty osoby z niepełnosprawnością” </w:t>
      <w:br/>
      <w:t>dla Organizacji Pozarządowych – edycja 2025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Gwka"/>
      <w:tabs>
        <w:tab w:val="clear" w:pos="4536"/>
        <w:tab w:val="clear" w:pos="9072"/>
        <w:tab w:val="left" w:pos="6555" w:leader="none"/>
        <w:tab w:val="right" w:pos="8789" w:leader="none"/>
      </w:tabs>
      <w:jc w:val="both"/>
      <w:rPr/>
    </w:pPr>
    <w:r>
      <w:rPr/>
      <w:drawing>
        <wp:anchor behindDoc="0" distT="0" distB="0" distL="114300" distR="114300" simplePos="0" locked="0" layoutInCell="0" allowOverlap="1" relativeHeight="9">
          <wp:simplePos x="0" y="0"/>
          <wp:positionH relativeFrom="column">
            <wp:posOffset>179070</wp:posOffset>
          </wp:positionH>
          <wp:positionV relativeFrom="paragraph">
            <wp:posOffset>-52705</wp:posOffset>
          </wp:positionV>
          <wp:extent cx="2669540" cy="877570"/>
          <wp:effectExtent l="0" t="0" r="0" b="0"/>
          <wp:wrapThrough wrapText="bothSides">
            <wp:wrapPolygon edited="0">
              <wp:start x="2464" y="2340"/>
              <wp:lineTo x="1385" y="4220"/>
              <wp:lineTo x="767" y="7029"/>
              <wp:lineTo x="767" y="14074"/>
              <wp:lineTo x="1846" y="17827"/>
              <wp:lineTo x="2925" y="18764"/>
              <wp:lineTo x="20657" y="18764"/>
              <wp:lineTo x="20809" y="17827"/>
              <wp:lineTo x="20193" y="14542"/>
              <wp:lineTo x="19269" y="10790"/>
              <wp:lineTo x="20964" y="7505"/>
              <wp:lineTo x="20193" y="4220"/>
              <wp:lineTo x="3695" y="2340"/>
              <wp:lineTo x="2464" y="2340"/>
            </wp:wrapPolygon>
          </wp:wrapThrough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69540" cy="8775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2"/>
        <w:b w:val="false"/>
        <w:szCs w:val="20"/>
        <w:rFonts w:ascii="Calibri" w:hAnsi="Calibri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sz w:val="22"/>
        <w:b w:val="false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b w:val="false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8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18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  <w:rPr>
        <w:sz w:val="22"/>
        <w:b w:val="false"/>
        <w:szCs w:val="20"/>
        <w:rFonts w:ascii="Calibri" w:hAnsi="Calibri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sz w:val="22"/>
        <w:b w:val="false"/>
        <w:szCs w:val="20"/>
        <w:rFonts w:ascii="Calibri" w:hAnsi="Calibri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340" w:hanging="36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6">
    <w:lvl w:ilvl="0">
      <w:start w:val="1"/>
      <w:numFmt w:val="bullet"/>
      <w:lvlText w:val=""/>
      <w:lvlJc w:val="left"/>
      <w:pPr>
        <w:tabs>
          <w:tab w:val="num" w:pos="0"/>
        </w:tabs>
        <w:ind w:left="216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6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3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7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4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920" w:hanging="360"/>
      </w:pPr>
      <w:rPr>
        <w:rFonts w:ascii="Wingdings" w:hAnsi="Wingdings" w:cs="Wingdings" w:hint="default"/>
      </w:rPr>
    </w:lvl>
  </w:abstractNum>
  <w:abstractNum w:abstractNumId="7">
    <w:lvl w:ilvl="0">
      <w:start w:val="2"/>
      <w:numFmt w:val="lowerLetter"/>
      <w:lvlText w:val="%1)"/>
      <w:lvlJc w:val="left"/>
      <w:pPr>
        <w:tabs>
          <w:tab w:val="num" w:pos="0"/>
        </w:tabs>
        <w:ind w:left="14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8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hAnsi="Calibri" w:eastAsia="Times New Roman" w:cs="Times New Roman" w:asciiTheme="minorHAnsi" w:hAnsi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9"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0"/>
      <w:numFmt w:val="decimal"/>
      <w:lvlText w:val="%2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0">
    <w:lvl w:ilvl="0">
      <w:start w:val="4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1"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 w:val="22"/>
        <w:b w:val="false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sz w:val="22"/>
        <w:b w:val="false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3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bullet"/>
      <w:lvlText w:val="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4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sz w:val="22"/>
        <w:b w:val="false"/>
        <w:szCs w:val="20"/>
        <w:rFonts w:ascii="Calibri" w:hAnsi="Calibr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5">
    <w:lvl w:ilvl="0">
      <w:start w:val="4"/>
      <w:numFmt w:val="decimal"/>
      <w:lvlText w:val="%1)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16"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/>
    </w:lvl>
    <w:lvl w:ilvl="1">
      <w:start w:val="1"/>
      <w:numFmt w:val="decimal"/>
      <w:lvlText w:val="%2)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Letter"/>
      <w:lvlText w:val="%3)"/>
      <w:lvlJc w:val="right"/>
      <w:pPr>
        <w:tabs>
          <w:tab w:val="num" w:pos="0"/>
        </w:tabs>
        <w:ind w:left="3780" w:hanging="180"/>
      </w:pPr>
      <w:rPr>
        <w:rFonts w:ascii="Calibri" w:hAnsi="Calibri" w:eastAsia="Times New Roman" w:cs="Times New Roman" w:asciiTheme="minorHAnsi" w:hAnsi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17">
    <w:lvl w:ilvl="0">
      <w:start w:val="1"/>
      <w:numFmt w:val="lowerLetter"/>
      <w:lvlText w:val="%1)"/>
      <w:lvlJc w:val="left"/>
      <w:pPr>
        <w:tabs>
          <w:tab w:val="num" w:pos="0"/>
        </w:tabs>
        <w:ind w:left="2340" w:hanging="360"/>
      </w:pPr>
      <w:rPr>
        <w:sz w:val="22"/>
        <w:b w:val="false"/>
        <w:szCs w:val="20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060" w:hanging="360"/>
      </w:pPr>
      <w:rPr/>
    </w:lvl>
    <w:lvl w:ilvl="2">
      <w:start w:val="1"/>
      <w:numFmt w:val="lowerLetter"/>
      <w:lvlText w:val="%3)"/>
      <w:lvlJc w:val="left"/>
      <w:pPr>
        <w:tabs>
          <w:tab w:val="num" w:pos="0"/>
        </w:tabs>
        <w:ind w:left="378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450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522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94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666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738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8100" w:hanging="180"/>
      </w:pPr>
      <w:rPr/>
    </w:lvl>
  </w:abstractNum>
  <w:abstractNum w:abstractNumId="18">
    <w:lvl w:ilvl="0">
      <w:start w:val="1"/>
      <w:numFmt w:val="lowerLetter"/>
      <w:lvlText w:val="%1)"/>
      <w:lvlJc w:val="left"/>
      <w:pPr>
        <w:tabs>
          <w:tab w:val="num" w:pos="0"/>
        </w:tabs>
        <w:ind w:left="39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4680" w:hanging="360"/>
      </w:pPr>
      <w:rPr/>
    </w:lvl>
    <w:lvl w:ilvl="2">
      <w:start w:val="1"/>
      <w:numFmt w:val="lowerLetter"/>
      <w:lvlText w:val="%3)"/>
      <w:lvlJc w:val="right"/>
      <w:pPr>
        <w:tabs>
          <w:tab w:val="num" w:pos="0"/>
        </w:tabs>
        <w:ind w:left="5400" w:hanging="180"/>
      </w:pPr>
      <w:rPr>
        <w:rFonts w:ascii="Calibri" w:hAnsi="Calibri" w:eastAsia="Times New Roman" w:cs="Times New Roman" w:asciiTheme="minorHAnsi" w:hAnsi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61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68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75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82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90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9720" w:hanging="180"/>
      </w:pPr>
      <w:rPr/>
    </w:lvl>
  </w:abstractNum>
  <w:abstractNum w:abstractNumId="19">
    <w:lvl w:ilvl="0">
      <w:start w:val="3"/>
      <w:numFmt w:val="lowerLetter"/>
      <w:lvlText w:val="%1)"/>
      <w:lvlJc w:val="left"/>
      <w:pPr>
        <w:tabs>
          <w:tab w:val="num" w:pos="0"/>
        </w:tabs>
        <w:ind w:left="39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0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decimal"/>
      <w:lvlText w:val="%3)"/>
      <w:lvlJc w:val="lef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1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2"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3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4">
    <w:lvl w:ilvl="0">
      <w:start w:val="6"/>
      <w:numFmt w:val="decimal"/>
      <w:lvlText w:val="%1)"/>
      <w:lvlJc w:val="left"/>
      <w:pPr>
        <w:tabs>
          <w:tab w:val="num" w:pos="0"/>
        </w:tabs>
        <w:ind w:left="23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5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hAnsi="Calibri" w:eastAsia="Times New Roman" w:cs="Times New Roman" w:asciiTheme="minorHAnsi" w:hAnsi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6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hAnsi="Calibri" w:eastAsia="Times New Roman" w:cs="Times New Roman" w:asciiTheme="minorHAnsi" w:hAnsi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7">
    <w:lvl w:ilvl="0">
      <w:start w:val="3"/>
      <w:numFmt w:val="decimal"/>
      <w:lvlText w:val="%1)"/>
      <w:lvlJc w:val="left"/>
      <w:pPr>
        <w:tabs>
          <w:tab w:val="num" w:pos="0"/>
        </w:tabs>
        <w:ind w:left="234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8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hAnsi="Calibri" w:eastAsia="Times New Roman" w:cs="Times New Roman" w:asciiTheme="minorHAnsi" w:hAnsi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9">
    <w:lvl w:ilvl="0">
      <w:start w:val="7"/>
      <w:numFmt w:val="decimal"/>
      <w:lvlText w:val="%1)"/>
      <w:lvlJc w:val="left"/>
      <w:pPr>
        <w:tabs>
          <w:tab w:val="num" w:pos="0"/>
        </w:tabs>
        <w:ind w:left="2160" w:hanging="18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0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  <w:rPr>
        <w:rFonts w:ascii="Calibri" w:hAnsi="Calibri" w:eastAsia="Times New Roman" w:cs="Times New Roman" w:asciiTheme="minorHAnsi" w:hAnsiTheme="minorHAnsi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i w:val="false"/>
        <w:b w:val="false"/>
        <w:rFonts w:ascii="Calibri" w:hAnsi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2">
    <w:lvl w:ilvl="0">
      <w:start w:val="1"/>
      <w:numFmt w:val="bullet"/>
      <w:lvlText w:val=""/>
      <w:lvlJc w:val="left"/>
      <w:pPr>
        <w:tabs>
          <w:tab w:val="num" w:pos="0"/>
        </w:tabs>
        <w:ind w:left="2345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06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785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505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22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945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6665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738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105" w:hanging="360"/>
      </w:pPr>
      <w:rPr>
        <w:rFonts w:ascii="Wingdings" w:hAnsi="Wingdings" w:cs="Wingdings" w:hint="default"/>
      </w:rPr>
    </w:lvl>
  </w:abstractNum>
  <w:abstractNum w:abstractNumId="3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1445f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e54708"/>
    <w:rPr/>
  </w:style>
  <w:style w:type="character" w:styleId="StopkaZnak" w:customStyle="1">
    <w:name w:val="Stopka Znak"/>
    <w:basedOn w:val="DefaultParagraphFont"/>
    <w:uiPriority w:val="99"/>
    <w:qFormat/>
    <w:rsid w:val="00e54708"/>
    <w:rPr/>
  </w:style>
  <w:style w:type="character" w:styleId="TytuZnak" w:customStyle="1">
    <w:name w:val="Tytuł Znak"/>
    <w:basedOn w:val="DefaultParagraphFont"/>
    <w:uiPriority w:val="99"/>
    <w:qFormat/>
    <w:rsid w:val="0011445f"/>
    <w:rPr>
      <w:rFonts w:ascii="Times New Roman" w:hAnsi="Times New Roman" w:eastAsia="Times New Roman" w:cs="Times New Roman"/>
      <w:b/>
      <w:sz w:val="24"/>
      <w:szCs w:val="20"/>
      <w:lang w:eastAsia="pl-PL"/>
    </w:rPr>
  </w:style>
  <w:style w:type="character" w:styleId="Czeinternetowe">
    <w:name w:val="Hyperlink"/>
    <w:basedOn w:val="DefaultParagraphFont"/>
    <w:uiPriority w:val="99"/>
    <w:unhideWhenUsed/>
    <w:rsid w:val="0065162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651628"/>
    <w:rPr>
      <w:color w:val="605E5C"/>
      <w:shd w:fill="E1DFDD" w:val="clear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e54708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e54708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ytu">
    <w:name w:val="Title"/>
    <w:basedOn w:val="Normal"/>
    <w:link w:val="TytuZnak"/>
    <w:uiPriority w:val="99"/>
    <w:qFormat/>
    <w:rsid w:val="0011445f"/>
    <w:pPr>
      <w:jc w:val="center"/>
    </w:pPr>
    <w:rPr>
      <w:b/>
      <w:szCs w:val="20"/>
    </w:rPr>
  </w:style>
  <w:style w:type="paragraph" w:styleId="ListParagraph">
    <w:name w:val="List Paragraph"/>
    <w:basedOn w:val="Normal"/>
    <w:uiPriority w:val="34"/>
    <w:qFormat/>
    <w:rsid w:val="00744ffd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68E5C1-9354-4900-9832-ADF312FA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Application>LibreOffice/7.5.4.2$Windows_X86_64 LibreOffice_project/36ccfdc35048b057fd9854c757a8b67ec53977b6</Application>
  <AppVersion>15.0000</AppVersion>
  <Pages>8</Pages>
  <Words>2118</Words>
  <Characters>14665</Characters>
  <CharactersWithSpaces>16666</CharactersWithSpaces>
  <Paragraphs>150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2024-02-05T14:38:00Z</dcterms:created>
  <dc:creator>j.hasnik</dc:creator>
  <dc:description/>
  <dc:language>pl-PL</dc:language>
  <cp:lastModifiedBy/>
  <cp:lastPrinted>2021-07-31T13:48:00Z</cp:lastPrinted>
  <dcterms:modified xsi:type="dcterms:W3CDTF">2025-03-07T12:45:28Z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